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rPr>
      </w:pPr>
      <w:r>
        <w:rPr>
          <w:rFonts w:hint="eastAsia"/>
          <w:b/>
          <w:bCs/>
          <w:sz w:val="24"/>
          <w:szCs w:val="24"/>
        </w:rPr>
        <w:t>私隱保障政策</w:t>
      </w:r>
    </w:p>
    <w:p>
      <w:pPr>
        <w:rPr>
          <w:rFonts w:hint="eastAsia"/>
          <w:sz w:val="22"/>
          <w:szCs w:val="22"/>
        </w:rPr>
      </w:pPr>
      <w:r>
        <w:rPr>
          <w:rFonts w:hint="eastAsia"/>
          <w:sz w:val="22"/>
          <w:szCs w:val="22"/>
        </w:rPr>
        <w:t>閣下可能在任何時間包括現在或將來或閣下曾經向本公司公司提供其個人資料而這些個人資料包括姓名、地址和一些個人財務或其他資料或本公司和閣下在延續正常業務運作中或提供財務或信貸時進一步收集的資料(所有這些資料在本政策下統稱為“資料”)。</w:t>
      </w:r>
    </w:p>
    <w:p>
      <w:pPr>
        <w:rPr>
          <w:rFonts w:hint="eastAsia"/>
          <w:sz w:val="22"/>
          <w:szCs w:val="22"/>
        </w:rPr>
      </w:pPr>
    </w:p>
    <w:p>
      <w:pPr>
        <w:rPr>
          <w:rFonts w:hint="eastAsia"/>
          <w:sz w:val="22"/>
          <w:szCs w:val="22"/>
        </w:rPr>
      </w:pPr>
      <w:r>
        <w:rPr>
          <w:rFonts w:hint="eastAsia"/>
          <w:sz w:val="22"/>
          <w:szCs w:val="22"/>
        </w:rPr>
        <w:t>因應本公司或其他人士需要個別的或共同地向閣下提供服務；申請開立帳戶；或持續帳戶；提供或持續提供投資建議或其他服務等，閣下需要填備申請表格或相關文件從而提供其個人資料完成上述服務，閣下是有責任完成該等表格或相關文件。</w:t>
      </w:r>
    </w:p>
    <w:p>
      <w:pPr>
        <w:rPr>
          <w:rFonts w:hint="eastAsia"/>
          <w:sz w:val="22"/>
          <w:szCs w:val="22"/>
        </w:rPr>
      </w:pPr>
    </w:p>
    <w:p>
      <w:pPr>
        <w:rPr>
          <w:rFonts w:hint="eastAsia"/>
          <w:sz w:val="22"/>
          <w:szCs w:val="22"/>
        </w:rPr>
      </w:pPr>
      <w:r>
        <w:rPr>
          <w:rFonts w:hint="eastAsia"/>
          <w:sz w:val="22"/>
          <w:szCs w:val="22"/>
        </w:rPr>
        <w:t>資料接收者可將資料提供給下列人士，不論下列人士是否在香港:</w:t>
      </w:r>
    </w:p>
    <w:p>
      <w:pPr>
        <w:rPr>
          <w:rFonts w:hint="eastAsia"/>
          <w:sz w:val="22"/>
          <w:szCs w:val="22"/>
        </w:rPr>
      </w:pPr>
      <w:r>
        <w:rPr>
          <w:rFonts w:hint="eastAsia"/>
          <w:sz w:val="22"/>
          <w:szCs w:val="22"/>
        </w:rPr>
        <w:t xml:space="preserve"> 本公司包括其任何辦事處、分行、職員或董事；</w:t>
      </w:r>
    </w:p>
    <w:p>
      <w:pPr>
        <w:rPr>
          <w:rFonts w:hint="eastAsia"/>
          <w:sz w:val="22"/>
          <w:szCs w:val="22"/>
        </w:rPr>
      </w:pPr>
      <w:r>
        <w:rPr>
          <w:rFonts w:hint="eastAsia"/>
          <w:sz w:val="22"/>
          <w:szCs w:val="22"/>
        </w:rPr>
        <w:t xml:space="preserve"> 在收集資料時需轉交資料或因向任何其他人士提出申請或要求任何服務而需交予資料時，可提供予該等人士，而該等人士可不在香港、不受條例約束及不被限制使用資料；</w:t>
      </w:r>
    </w:p>
    <w:p>
      <w:pPr>
        <w:rPr>
          <w:rFonts w:hint="eastAsia"/>
          <w:sz w:val="22"/>
          <w:szCs w:val="22"/>
        </w:rPr>
      </w:pPr>
      <w:r>
        <w:rPr>
          <w:rFonts w:hint="eastAsia"/>
          <w:sz w:val="22"/>
          <w:szCs w:val="22"/>
        </w:rPr>
        <w:t xml:space="preserve"> 本公司因向閣下提供或準備提供服務而要將資料交予任何信託人、登記處、信託基金</w:t>
      </w:r>
      <w:bookmarkStart w:id="0" w:name="_GoBack"/>
      <w:bookmarkEnd w:id="0"/>
      <w:r>
        <w:rPr>
          <w:rFonts w:hint="eastAsia"/>
          <w:sz w:val="22"/>
          <w:szCs w:val="22"/>
        </w:rPr>
        <w:t>的相關保管人或信託投資計畫或相關服務保險公司或閣下所持有之股票之中央股票過戶處；</w:t>
      </w:r>
    </w:p>
    <w:p>
      <w:pPr>
        <w:rPr>
          <w:rFonts w:hint="eastAsia"/>
          <w:sz w:val="22"/>
          <w:szCs w:val="22"/>
        </w:rPr>
      </w:pPr>
      <w:r>
        <w:rPr>
          <w:rFonts w:hint="eastAsia"/>
          <w:sz w:val="22"/>
          <w:szCs w:val="22"/>
        </w:rPr>
        <w:t xml:space="preserve"> 如對合約作出任何轉讓、轉移或約務替更、任何參與或附屬參與或其他類似安排，或因責任授權，經理或信託人之離任，而需將有關資料提供給承讓人、承轉人、替代人、參與人、附屬參與人、被授權人或繼承人；</w:t>
      </w:r>
    </w:p>
    <w:p>
      <w:pPr>
        <w:rPr>
          <w:rFonts w:hint="eastAsia"/>
          <w:sz w:val="22"/>
          <w:szCs w:val="22"/>
        </w:rPr>
      </w:pPr>
      <w:r>
        <w:rPr>
          <w:rFonts w:hint="eastAsia"/>
          <w:sz w:val="22"/>
          <w:szCs w:val="22"/>
        </w:rPr>
        <w:t xml:space="preserve"> 任何信託合作人；</w:t>
      </w:r>
    </w:p>
    <w:p>
      <w:pPr>
        <w:rPr>
          <w:rFonts w:hint="eastAsia"/>
          <w:sz w:val="22"/>
          <w:szCs w:val="22"/>
        </w:rPr>
      </w:pPr>
      <w:r>
        <w:rPr>
          <w:rFonts w:hint="eastAsia"/>
          <w:sz w:val="22"/>
          <w:szCs w:val="22"/>
        </w:rPr>
        <w:t xml:space="preserve"> 法律規定，相關法規要求本公司交付給政府部門、監管機構或法院；</w:t>
      </w:r>
    </w:p>
    <w:p>
      <w:pPr>
        <w:rPr>
          <w:rFonts w:hint="eastAsia"/>
          <w:sz w:val="22"/>
          <w:szCs w:val="22"/>
        </w:rPr>
      </w:pPr>
      <w:r>
        <w:rPr>
          <w:rFonts w:hint="eastAsia"/>
          <w:sz w:val="22"/>
          <w:szCs w:val="22"/>
        </w:rPr>
        <w:t xml:space="preserve"> 任何閣下持有或擬有交易的金融服務機構；</w:t>
      </w:r>
    </w:p>
    <w:p>
      <w:pPr>
        <w:rPr>
          <w:sz w:val="22"/>
          <w:szCs w:val="22"/>
        </w:rPr>
      </w:pPr>
      <w:r>
        <w:rPr>
          <w:rFonts w:hint="eastAsia"/>
          <w:sz w:val="22"/>
          <w:szCs w:val="22"/>
        </w:rPr>
        <w:t xml:space="preserve"> 任何在閣下戶口之資產以本公司名義代閣下登記或存放在代理人公司被出售、變賣或轉移。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雅酷黑简">
    <w:panose1 w:val="00020600040101010101"/>
    <w:charset w:val="86"/>
    <w:family w:val="auto"/>
    <w:pitch w:val="default"/>
    <w:sig w:usb0="A00002BF" w:usb1="1AC17CFA" w:usb2="00000016" w:usb3="00000000" w:csb0="0004009F" w:csb1="DFD7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YWRjOGIwOGJjZmFmZjk3YjMxNzZkOWI2N2U1ZGIifQ=="/>
  </w:docVars>
  <w:rsids>
    <w:rsidRoot w:val="00000000"/>
    <w:rsid w:val="0FBF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2024-05-09T05:20:44Z</dcterms:created>
  <dc:creator>21524</dc:creator>
  <cp:lastModifiedBy>Jack</cp:lastModifiedBy>
  <dcterms:modified xsi:type="dcterms:W3CDTF">2024-05-09T05:21:18Z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567D143C05414BF198297D0CB416053A_12</vt:lpwstr>
  </property>
</Properties>
</file>